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57 vom 17. August 2022</w:t>
      </w:r>
    </w:p>
    <w:p>
      <w:r>
        <w:t>VS Kantonsgericht, 2022-08-17, DE</w:t>
      </w:r>
    </w:p>
    <w:p>
      <w:r>
        <w:rPr>
          <w:b/>
        </w:rPr>
        <w:t xml:space="preserve">Quelle: </w:t>
      </w:r>
      <w:r>
        <w:t>https://mcp.opencaselaw.ch/entscheid/vs_gerichte_A1 22 57</w:t>
      </w:r>
    </w:p>
    <w:p>
      <w:r>
        <w:t>FR: VS_GERICHTE A1 22 57 du 17 août 2022</w:t>
      </w:r>
    </w:p>
    <w:p>
      <w:r>
        <w:t>IT: VS_GERICHTE A1 22 57 del 17 agosto 2022</w:t>
      </w:r>
    </w:p>
    <w:p>
      <w:pPr>
        <w:pStyle w:val="Heading2"/>
      </w:pPr>
      <w:r>
        <w:t>Regeste</w:t>
      </w:r>
    </w:p>
    <w:p>
      <w:r>
        <w:t>A1 22 57 URTEIL VOM 17. AUGUST 2022 Kantonsgericht Wallis Öffentlichrechtliche Abteilung Es wirken mit: Christophe Joris, Präsident, Jean-Bernard Fournier und Thomas Brunner, Richter, sowie Carmen Mangisch, Gerichtsschreiberin, in Sachen X _________, Beschwerdeführer, gegen STAATSRAT DES KANTONS WALLIS, 1950 Sitten, Vorinstanz, EINWOHNERGEMEINDE A _________, Beschwerdegegnerin, vertreten durch Rechts- anwalt Urban Carlen, act Advokatur &amp; Notariat, Furkastrasse 25, Postfach 140, 3900 Brig-Glis, (Abgaben &amp; Gebühren) Verwaltungsgerichtsbeschwerde gegen den Entscheid vom 9. März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1.1</w:t>
      </w:r>
    </w:p>
    <w:p>
      <w:r>
        <w:t>Tritt eine Behörde nicht auf eine Beschwerde ein, so hat der Betroffene ein schutz- würdiges Interesse daran, dass die übergeordnete Instanz den angefochtenen Nichtein- tretensentscheid auf seine Rechtmässigkeit hin überprüft (vgl. BGE 132 II 250 E. 4; 127 II 264 E. 1a; 123 I 275 E. 2c). Der Beschwerdeführer ist als Adressat des angefoch- tenen Staatsratsentscheids, der nicht auf seine Beschwerde eintrittt, berührt und hat ein schutzwürdiges Interesse an dessen Änderung oder Aufhebung, so dass er gemäss Art. 80 Abs. 1 lit. a i.V.m. Art. 44 Abs. 1 lit. a VVRG zur vorliegenden Verwaltungsge- richtsbeschwerde legitimiert ist. Auf die im Übrigen form- und fristgerecht eingereichte Beschwerde ist deshalb einzutreten (Art. 80 Abs. 1 lit. b und c i.V.m. Art. 46 und Art. 48 VVRG).</w:t>
      </w:r>
    </w:p>
    <w:p>
      <w:r>
        <w:rPr>
          <w:b/>
        </w:rPr>
        <w:t>E. 1.2</w:t>
      </w:r>
    </w:p>
    <w:p>
      <w:r>
        <w:t>Hat die Vorinstanz einen Nichteintretensentscheid gefällt, kann mit der dagegen gerichteten Verwaltungsgerichtsbeschwerde nur dessen Unrechtmässigkeit geltend gemacht und die Rückweisung der Sache an die Vorinstanz zur materiellen Beurteilung beantragt werden (Art. 80 Abs. 1 lit. e und 60 VVRG; Urteil des Kantonsgerichts A1 16 133 vom 18. November 2016 E. 1.2; ZWR 2005 S. 90 ; 1989 S. 56; André Grisel, Traité de droit administratif, Bd. II, 1984, S. 915). Aus diesem Grund geht der Einwand der Gemeinde fehl, wonach der Beschwerdeführer seine Verwaltungsgerichtsbe- schwerde nicht rechtsgenüglich begründet habe, da er sich nicht mit der materiellrecht- lichen Seite auseinandergesetzt habe und darlege, warum er keine Tourismusförde- rungstaxe schulde. Der Beschwerdeführer beschränkte seine Verwaltungsgerichtsbe- schwerde zu Recht auf die Begründung, warum der Staatsrat hätte auf diese eintreten</w:t>
      </w:r>
    </w:p>
    <w:p>
      <w:r>
        <w:t>- 6 - sollen. Denn Anfechtungsobjekt ist vorliegend ein Nichteintretensentscheid des Staats- rats aufgrund einer «res iudicata»: Das Kantonsgericht hat folglich einzig zu beurteilen, ob die Vorinstanz zu Recht von einer bereits abgeurteilten Sache ausgehen durfte (vgl. auch BGE 139 II 233 E. 3.2; Urteil des Bundesgerichts 1A.266/2006 vom 25. April 2007 E. 1.3).</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die von ihm hinterlegten Urkunden. Das Kantonsgericht hat die vom Beschwerdeführer eingereichten Belege zu den Akten genommen. Der Staatsrat hat die Vorakten am 27. April 2022 hinterlegt. Die vorhande- nen Akten enthalten mithin die entscheidrelevanten Sachverhaltselemente und genü- gen, wie die nachfolgenden Erwägungen zeigen, zur Beurteilung der rechtserheblichen Fragen. Deshalb wird auf zusätzliche Beweisabnahmen verzichtet.</w:t>
      </w:r>
    </w:p>
    <w:p>
      <w:r>
        <w:rPr>
          <w:b/>
        </w:rPr>
        <w:t>E. 4</w:t>
      </w:r>
    </w:p>
    <w:p>
      <w:r>
        <w:t>Der Beschwerdeführer rügt, dass der Staatsrat zu Unrecht auf seine Verwaltungsbe- schwerde nicht eingetreten ist mit der Begründung, dass es sich um eine bereits abge- urteilte Sache handelt. Demzufolge ist primär zu prüfen, ob der Staatsratsentscheid vom</w:t>
      </w:r>
    </w:p>
    <w:p>
      <w:r>
        <w:rPr>
          <w:b/>
        </w:rPr>
        <w:t>E. 4.1</w:t>
      </w:r>
    </w:p>
    <w:p>
      <w:r>
        <w:t>Eine abgeurteilte Sache (res iudicata) liegt vor, wenn der streitige Anspruch mit ei- nem schon rechtskräftig beurteilten identisch ist. Dies trifft zu, falls der Anspruch dem Gericht aus demselben Rechtsgrund und gestützt auf denselben Sachverhalt erneut zur Beurteilung unterbreitet wird und sich wieder die gleichen Parteien gegenüberstehen (BGE 144 I 11 E. 4.2). Der formell rechtskräftige Entscheid entfaltet demnach in Bezug auf die darin festgesetzten Rechte und Pflichten definitive Bindungswirkung, sodass die Behörde diese Rechte und Pflichten nicht später im Rahmen eines neuen Entscheids inhaltlich abändern kann oder aufheben darf (vgl. René Wiederkehr/Kaspar Plüss, Praxis des öffentlichen Verfahrensrechts, 2020, N. 3304). Bei der Prüfung der Identität der Be- gehren ist nicht ihr Wortlaut, sondern ihr Inhalt massgebend. Das neue Begehren ist deshalb trotz abweichender Umschreibung vom beurteilten nicht verschieden, wenn es in diesem bereits enthalten war oder wenn im neuen Verfahren das kontradiktorische</w:t>
      </w:r>
    </w:p>
    <w:p>
      <w:r>
        <w:t>- 7 - Gegenteil zur Beurteilung gestellt wird. Anderseits sind Rechtsbehauptungen trotz glei- chen Wortlauts dann nicht identisch, wenn sie nicht auf dem gleichen Entstehungsgrund, das heisst auf denselben Tatsachen und rechtlichen Umständen beruhen. Die materielle Rechtskraft eines früheren Entscheids bedeutet grundsätzlich nur eine Bindung an das Dispositiv und nicht auf die rechtliche Begründung und die tatsächlichen Feststellungen. Allerdings können zur Feststellung der Tragweite des Dispositivs weitere Umstände, na- mentlich die Begründung des Entscheids herangezogen werden (vgl. BGE 144 I 11 E. 4.2; BGE 139 III 123 E: 3.2.3; Urteil des Bundesverwaltungsgerichts A-7745/2010 vom 9. Juni 2011 E. 1.2.1).</w:t>
      </w:r>
    </w:p>
    <w:p>
      <w:r>
        <w:rPr>
          <w:b/>
        </w:rPr>
        <w:t>E. 4.2</w:t>
      </w:r>
    </w:p>
    <w:p>
      <w:r>
        <w:t>Ein mit verbindlichen Weisungen versehener Rückweisungsentscheid (vgl. Art. 60 Abs. 1 i.V.m. Art. 80 Abs. 1 lit. e VVRG) schliesst das Verfahren bezüglich der in den Erwägungen definitiv behandelten Punkten ab. Wenn der unteren Instanz, an welche die Sache zurückgewiesen wird, kein Entscheidungsspielraum mehr bleibt und die Rückwei- sung nur noch der Umsetzung des oberinstanzlich Angeordneten dient, handelt es sich - in Bezug auf die defitnitv entschiedenen Punkte - um einen Endentscheid, der anfecht- bar ist (vgl. Urteil des Bundesverwaltungsgerichts A-7745/2010 vom 9. Juni 2011 E. 1.2.1). Ein Rückweisungsentscheid im Sinne eines anfechtbaren Endentscheids wird bei unterlassener Anfechtung formell und damit auch materiell rechtskräftig. Verweist das Dispositiv eines solchen Entscheids ausdrücklich auf die Erwägungen, werden diese zu dessen Bestandteil und haben, soweit sie zum Streitgegenstand gehören, an der Rechtskraft teil. Die rechtliche Beurteilung, mit der die Zurückweisung begründet wird, muss der neuen Entscheidung zugrunde gelegt werden (vgl. BGE 145 II 259 E. 2.5.3; vgl. Urteil des Bundesgerichts 9C_34/2021 und 9C_35/2021 vom 30. März 2021 E. 2.3.1; vgl. Urteile des Bundesverwaltungsgerichts A-3008/2015 vom 6. November 2015 E. 1.6.2 und A-7745/2010 vom 9. Juni 2011 E. 1.2.2).</w:t>
      </w:r>
    </w:p>
    <w:p>
      <w:r>
        <w:rPr>
          <w:b/>
        </w:rPr>
        <w:t>E. 4.3</w:t>
      </w:r>
    </w:p>
    <w:p>
      <w:r>
        <w:t>Der Staatsrat hielt im Dispositiv Ziffer 1 seines Entscheids vom 9. Dezember 2020 Folgendes fest: «Die Beschwerde wird, soweit sie die Nachbelastungen der Kurtaxen- pauschalen für die Jahre 2017/2018 und 2018/2019 sowie die Veranlagung der Touris- musförderungstaxe anbelangt, gutgeheissen. Im Übrigen wird sie abgewiesen, soweit darauf eingetreten wird. Die angefochtene Verfügung ist in den beiden gutgeheissenen Punkten aufzuheben und im Sinne der Erwägungen an die Vorinstanz zurückzuweisen». Hinsichtlich der Aufhebung der Veranlagung der Tourismusförderungstaxe erwog der Staatsrat auf S. 7 seines Entscheids vom 9. Dezember 2020, dass sich der Gemeinderat der Gemeinde auch betreffend Tourismusförderungstaxe erstmals im (damals angefoch- tenen) Einspracheentscheid vom 6. Februar 2020 mit dieser auseinandergesetzt habe</w:t>
      </w:r>
    </w:p>
    <w:p>
      <w:r>
        <w:t>- 8 - und es zu prüfen sei, ob dieser Einspracheentscheid als Veranlagungsverfügung für die Tourismusförderungstaxe 2019/2020 angesehen werden könne. Der Staatsrat erwog weiter, dass sich der Gemeindedrat im besagten Einspracheentscheid zwar mit den Ar- gumenten des Beschwerdeführers auseinandergesetzt und ihm erläutert habe, weshalb er aus seiner Sicht der Tourismusförderungstaxe unterliege, aber an keiner Stelle auf den einschlägigen Art. 6 Abs. 7 der TFT-Reglemente verwiesen und auch nicht im Dis- positiv verfügt worden sei, dass der Beschwerdeführer eine Pauschale in der Höhe von Fr. 150.-- zu entrichten hätte, sondern lediglich die Rechnung bestätigt worden sei. Dem- nach kann nach Ansicht des Staatsrats der (damals) angefochtene Einspracheentscheid nicht als rechtsgenügliche Veranlagungsverfügung angesehen werden. Schliesslich kam der Staatsrat zum Schluss, dass die angefochtene Verfügung, soweit sie die Tourismus- förderungstaxe 2019/2020 betraf, daher bereits aus diesem Grund aufzuheben und die Sache zur rechtsgenüglichen Veranlagung an die Gemeinde zurückzuweisen sei. In ei- ner Eventualbegründung legte der Staatsrat nachfolgend noch dar, um zu vermeiden, dass dieselbe Rüge im Anschluss an die rechtsgenügliche Veranlagungsverfügung er- neut Gegenstand einer Beschwerde bilde, warum aus seiner Sicht die Rüge, wonach der Beschwerdeführer mit ausserkantonalem Wohnsitz nicht der Tourismusförde- rungstaxe unterliege, abzuweisen sei.</w:t>
      </w:r>
    </w:p>
    <w:p>
      <w:r>
        <w:rPr>
          <w:b/>
        </w:rPr>
        <w:t>E. 4.4</w:t>
      </w:r>
    </w:p>
    <w:p>
      <w:r>
        <w:t>Wie soeben dargelegt, hat der Staatsrat in seinem Entscheid vom 9. Dezember 2020 damit einzig definitiv darüber entschieden, dass die angefochtene Verfügung in den beiden gutgeheissenen Punkten aufzuheben und im Sinne der Erwägungen an die Vorinstanz zurückzuweisen sei. Der Passus «im Sinne der Erwägungen» deutet hier die Begründung an, warum der Entscheid aufzuheben und an die Sache an die Vorinstanz zurückzuweisen war. Namentlich deshalb, weil an keiner Stelle auf den einschlägigen Art. 6 Abs. 7 der TFT-Reglemente verwiesen und auch nicht im Dispositiv verfügt worden ist, dass der Beschwerdeführer eine Pauschale in der Höhe von Fr. 150.-- zu entrichten hätte, sondern lediglich die Rechnung bestätigt worden ist. Aus diesem Grund sei der Entscheid aufzuheben gewesen und die Gemeinde wurde dazu veranlasst, eine rechts- genügliche Veranlagungsverfügung zu erlassen. Was aber die Eventualbegründung hin- sichtlich der Taxpflicht für Eigentümer mit ausserkantonalem Wohnsitz angeht, wurde diese im Dispositiv nicht explizit aufgeführt. In diesem Sinne erstreckt sich die die abge- urteilte Sache lediglich auf die Verpflichtung an die Gemeinde, eine rechtsgenügliche Veranlagungsverfügung zu erlassen. Darüber hinaus wurden mit der Verwaltungsbe- schwerde vor dem Staatsrat drei Rechnungsperioden angefochten. Jede Rechnungspe- riode steht für sich und bildet einen eigenen «Sachverhalt», so dass nicht von einer iden-</w:t>
      </w:r>
    </w:p>
    <w:p>
      <w:r>
        <w:t>- 9 - tischen Sachlage gesprochen werden kann. Dies ginge soweit, dass Tourismusförde- rungstaxverfügungen nicht mehr angefochten werden könnten, sobald dies einmal ge- schehen ist. Den Taxpflichtigen muss es jeweils möglich sein, die jeweiligen Veranla- gungsverfügungen anfechten zu können. Im Ergebnis kann daher nicht von einer res iudicata gesprochen werden. 5. Da demnach keine res iudicata vorliegt, ist der Staatsrat zu Unrecht nicht auf die Beschwerde eingetreten. Die Gemeinde fordert dennoch, dass das Kantonsgericht im Sinne der Prozessökonomie die Sache materiell beurteilt. 5.1 Instanzen, die nicht letztinstanzlich entscheiden, können im Sinne der Prozessöko- nomie auch bei einem Nichteintretensentscheid die Sache materiell prüfen. Dies ist dann der Fall, wenn die Vorinstanz in einer Eventualbegründung erwogen hat, dass selbst wenn auf das Rechtsmittel einzutreten wäre, es in materieller Hinsicht abzuweisen wäre. In einer solchen Konstellation kann auch die materielle Rechtslage beurteilt und aus pro- zessökonomischen Gründen davon abgesehen werden, den angefochtenen Entscheid aufzuheben, wenn zwar zu Unrecht auf die Beschwerde nicht eingetreten wurde, die Eventualbegründung in der Sache aber zutreffend ist (vgl. BGE 139 II 233 E. 3.2; vgl. René Rhinow/Heinrich Koller/Christina Kiss/Daniela Thurnherr/Denise Brühl-Moser, Öffentliches Prozessrecht, 4. A., 2021, N. 948). 5.2 Die Argumentation der Gemeinde, wonach das Kantonsgericht die Sache materiell zu prüfen habe, falls es zum Schluss komme, dass zu Unrecht nicht auf die Verwaltungs- beschwerde eingetreten worden sei, geht fehl. Dies bereits aus dem Grund, dass im Nichteintretensentscheid gar keine Eventualbegründung zu finden ist, welche abhandelt, dass in einem Eintretensfall die Rüge des Beschwerdeführers ohnehin hätte abgewiesen werden müssen. Insofern braucht darauf nicht weiter eingegangen zu werden. Das Kan- tonsgericht kommt somit zum Schluss, dass der Staatsrat zu Unrecht nicht auf die Ver- waltungsbeschwerde des Beschwerdeführers eingetreten ist und damit im Ergebnis eine Rechtsverweigerung beging. 6. Die Beschwerde wird gutgeheissen und die Angelegenheit wird zur Neubeurteilung an den Staatsrat zurückgewiesen, welcher die Rüge des Beschwerdeführers, wonach er als Eigentümer mit ausserkantonalem Wohnsitz nicht der Tourismusförderungstaxpflicht unterliege, materiell zu beurteilen hat. Bei diesem Verfahrensausgang gilt der Beschwer- deführer als obsiegende Partei mit den entsprechenden Folgen für die Tragung der Kos- ten und für die Zusprechung einer Parteientschädigung.</w:t>
      </w:r>
    </w:p>
    <w:p>
      <w:r>
        <w:t>- 10 - 6.1 Im Beschwerdeverfahren hat in der Regel die unterliegende Partei die Kosten zu tragen (Art. 89 Abs. 1 VVRG). Den Behörden des Bundes, des Kantons und der Ge- meinden, die in ihrem amtlichen Wirkungskreis und ohne dass es sich um ihre Vermö- gensinteressen handelt, als Partei oder Vorinstanzen in einem Verfahren auftreten, wer- den in der Regel keine Kosten auferlegt (Art. 89 Abs. 4 VVRG). Es besteht vorliegend kein Grund, von dieser Regel abzuweichen, weshalb keine Gerichtsgebühr erhoben wird. 6.2 Abgesehen von hier nicht interessierenden Ausnahmen gewährt die Beschwer- deinstanz der ganz oder teilweise obsiegenden Partei auf Begehren die Rückerstattung der notwendigen Kosten, die ihr entstanden sind (Art. 91 Abs. 1 VVRG). Die Entschädi- 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Anwaltskosten (Art. 4 des Gesetzes betreffend den Tarif der Kosten und Entschädigungen vor Gerichts- oder Verwaltungsbehörden vom</w:t>
      </w:r>
    </w:p>
    <w:p>
      <w:r>
        <w:rPr>
          <w:b/>
        </w:rPr>
        <w:t>E. 9</w:t>
      </w:r>
    </w:p>
    <w:p>
      <w:r>
        <w:t>Dezember 2020, eine abgeurteilte Sache (res iudicata) darstellt.</w:t>
      </w:r>
    </w:p>
    <w:p>
      <w:r>
        <w:rPr>
          <w:b/>
        </w:rPr>
        <w:t>E. 11</w:t>
      </w:r>
    </w:p>
    <w:p>
      <w:r>
        <w:t>Februar 2009 [GTar; SGS/VS 173.8]), die in Anwendung der Art. 27 ff. GTar festzu- setzen sind. Dem Beschwerdeführer, welcher nicht anwaltlich vertreten ist, bzw. in eige- ner Angelegenheit handelt, wird zu Lasten des Kantons eine Parteientschädigung von Fr. 300.-- zugesprochen.</w:t>
      </w:r>
    </w:p>
    <w:p>
      <w:r>
        <w:t>- 11 - Demnach erkennt das Kantonsgericht:</w:t>
      </w:r>
    </w:p>
    <w:p>
      <w:r>
        <w:t>1. Die Beschwerde wird gutgeheissen und die Angelegenheit wird zur erneuten Beurteilung im Sinne der Erwägungen an den Staatsrat zurückgewiesen. 2. X _________ wird eine Parteientschädigung von Fr. 300 zu Lasten des Kantons zugesprochen. 3. Es werden keine Gerichtskosten erhoben. 4. Das Urteil wird X _________, der Einwohnergemeinde A _________ und dem Staatsrat des Kantons Wallis schriftlich mitgeteilt.</w:t>
      </w:r>
    </w:p>
    <w:p>
      <w:r>
        <w:t>Sitten, 17.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